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города Ростова-на-Дону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2670" w:dyaOrig="3044">
          <v:rect xmlns:o="urn:schemas-microsoft-com:office:office" xmlns:v="urn:schemas-microsoft-com:vml" id="rectole0000000000" style="width:133.500000pt;height:15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  01.09.2015                                                                                                                  Утверждено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заведующий МБДОУ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                                                                                                                                                                                                                                  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Г.А. Крамскова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65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01.09.2015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Рабочая программа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педагога дополнительного образования  по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развивающему курсу для детей  5-7  лет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составлена на основе программы обучения и развития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Предшкольная пора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под редакцией Н.Ф. Виноградовой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Разработчик: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Педагог дополнительного 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Белозорова Мария Александровна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2016-2017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учебный год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Ростов-на-Дону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Содержание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Пояснительная записка к рабочей программе.....................................3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Цели и задачи, принципы построения Программы.............................3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Содержание учебного курса.......................................................................5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Результаты реализации программы........................................................5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Виды занятий ….........................................................................................7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Материально-техническое обеспечение.................................................7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Тематическое планирование.....................................................................8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литературы....................................................................................10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Пояснительная записка.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составлена для воспитанников старших и подготовительных групп детского сада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программы положена основная общеобразовательная программа дошкольного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Предшкольная пора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Авторский коллектив: Н.Ф.Виноградова, Л.Е.Журова, С.А. Козлова, Т.А. Куликова, Н.Г. Салмина. Под редакцией Н.Ф. Виноградовой.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предназначена для деятельности образовательного учреждения по подготовке дошкольников к  школе в дополнение к основной программе данного образовательного  учреждения. Работа с детьми по данной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Отличительной особенностью рабочей программы от учебной программы Н.Ф.Виноградовой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Предшкольная пора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является вычленение одного конкретного раздела (раздел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Учимся родному языку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изменение количества учебных недель, изменение часов на изучение отдельных тем. Это обосновано необходимостью  для успешной реализации задач по подготовке детей детского сада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школьному обучению, наличию других занятий в рамках основного и дополнительного образования в условиях данного ДОУ и учетом допустимой нагрузки для каждой возрастной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Назначение программы и актуальность ее использования в современных условиях дошкольного образования определяется особым вниманием государства и общественности к улучшению подготовки детей к обучению в школе, успешной адаптации первоклассников к новым социальным условиям.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Цели и задачи, принципы построения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 Программы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Обогащение активного словаря, связной речи, формирование умений составлять описательный рассказ, повествовательный рассказ, рассказ-рассуждение, развитие фантазии, воображения, словесного творчества, развитие звуковой культуры речи, звуко-слогового анализа слов; подготовка руки к письму; подготовка к обучению чтению; знакомство с произведениями детских писателей и творчеством народов мира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 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качеств личности, особенностей психических процессов и видов деятельности, которые определяют становление устойчивых познавательных интересов детей и успешное обучение их в школе.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эффективная качественная подготовка ребенка 5-7 лет к школе, а коннкретно к обучению грамоте.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педагогической помощи по коррекции трудностей социального и интеллектуального развития.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Результатом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всего хода нормального развития и воспитания ребенка в дошкольном возрасте является такая подготовка к школе которая позволит ему не только подготовиться к изучению школьных предметов, но и осознать самого себя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я 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свои возможности и индивидуальные особенности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я 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уметь общаться и сотрудничать со взрослыми и сверстниками.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Принципы построения 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Природосообразность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процесса обучения и воспитания.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Гуманный характер взаимодействия педагога 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эмоционально-положительный фон работы с детьми, оптимистическая гипотеза взрослого по отношению к недостаткам ребенка, терпеливость и сдержанность.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Деятельностный подход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опора на ведущую деятельность данного периода (игровую), создание условий для разнообразных игр и игровых упражнений; обеспечение поступательности в развитии актуальных деятельностей, развитие предпосылок учебной деятельности; становление различных форм взаимодействия, сотрудничества и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Индивидуализация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сохранение и развитие индивидуальности каждого ребенка, учет особенностей темперамента, темпа деятельности, сформированности умений взаимодействовать; обеспечение условий для проявления интересов, желаний, творческих порывов ребенка.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Продолжительность обучения: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рассчитана на 2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Учебный 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недели (с октября по май)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занятия в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занятия в неделю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Временная продолжительность занятий: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детей 5-6 лет (старшая группа)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детей 6-7 лет (подготовительная группа)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Критерии и нормы оценки к знаниям обучающихся: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Безотметочное обучение.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Для реализации программы пользуемся учебными пособиями из серии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Предшкольная пора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Журова Л.Е., Кузнецова М.И.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для дошкольников. Играем со звуками и словами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Журова Л.Е., Кузнецова М.И.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для дошкольников. Играем и читаем 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СОДЕРЖАНИЕ УЧЕБНОГО 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Учимся родному языку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обеспечивает обогащение активного словаря ребёнка,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связной речи, формирование умений составлять описательный,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ребёнка к письму. Большое внимание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уделяется развитию фантазии, воображения, словесного творчества ребёнкаДля развития речи дошкольников применяются художественные произведения, сказки, загадки, потешки, скороговорки, пословицы, стихотворения. Используются наглядные средства: сюжетные картинки,иллюстрации,детские игровые наборы.В процессе занятий ребёнок становится маленьким языковедом, потомучто занятия строятся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таким образом, чтобы ребёнок осознанно и произвольностроил свою речь. В дальнейшем он приобретает способность правильнопроизносить слова, строить предложения, осознавать из каких звуков состоитслово, из каких слов-предложение. Дети учатся задавать вопросы, улавливать связь задаваемого вопроса и ответа на него, логически мыслить, общаться, работая в парах, группах.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Результатом реализации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становится мониторинг успешности овладения знаниями.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FFFFFF" w:val="clear"/>
        </w:rPr>
        <w:t xml:space="preserve">По окончании курса дети должны: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Иметь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активном словаре слова, характеризующие качества и свойства предметов ("какой, из чего сделан", "для чего нужен"), обобщающие слова (мебель, одежда, обувь, посуда и пр.). По образцу подбирать слова, сходные и противоположные по значению (например, бежать-идти; смеяться-улыбаться; грустно-весело; легко-тяжело и др.).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Пользоваться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словами, характеризующими их свойства и качества (например, широкий, мелкий, глубокий, узкий, мягкий и др.).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Использовать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слова, характеризующие эмоциональные состояния людей (печальный, грустный, обиженный, усталый).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Сравнивать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окружающего мира,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описывать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схожие и разные черты (например, два разных яблока; яблоко и банан и др.). В разговоре со сверстниками, на занятиях выражать свое отношение к наблюдаемым объектам,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книгам, игрушкам, мультфильмам ("нравится - не нравится"), элементарно обосновывать свое мнение ("почему нравится -не нравится").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Участвовать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разговоре, беседе, совместных играх и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помогать. Слушать другого человека, внимательно выслушивать мнение не только взрослого, но и сверстников. Понимать, что наличие разных мнений обогащает общение людей. Сравнивать свое отношение и отношение других к одним и тем же объектам ("мне нравится, а Оле нет..."). Понимать шутку, юмор, не обижаться на шутки взрослых 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Участвовать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коллективном рассказывании, беседе, в составлении характеристики любого объекта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игрушки, предмета быта, декоративно-прикладного искусства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название, назначение, цвет, форма, величина, материал). Использовать в описании имеющиеся сенсорные представления и результаты наблюдений.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рассказы на близкие детям темы (игры, любимые занятия, игрушки, праздники), небольшие портреты-рассказы о родителях, старших членах семьи, братьях-сестрах. Составлять описательные и повествовательные рассказы по графическим схемам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плану на доступные детям темы (например, "Что случилось в лесу", "Зимние забавы", "Весна пришла" и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Придумывать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истории по рисункам-пиктограммам ("Кто спрятался в чернильных пятнах", "О чем рассказывают эти знаки").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Кратко характеризовать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внешнего вида, повадок, условий обитания животных (например, кошка, утенок, муравей, лягушка, ворона).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описательные рассказы от имени животного ("Я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бабочка", "Я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муравей", "Я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лисичка" и т.п.).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Придумывать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фантастические ис тории по плану: кто это, где находился, что делал, что натворил, что сказали люди, чем закончилась эта история (с помощью взрослого).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 по серии сюжетных картинок (последовательной и с нарушением последовательности), по сюжетной картине на доступные детям темы, несложному натюрморту, пейзажу.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Различать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 процессе моделирования) слово и предложение,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образцу и самостоятельно предложения.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Строить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 предложений (в игре).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Выделять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 встречающийся в словах звук, обозначать его соответствующим знаком-заместителем. Следуя образцу, интонационно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Соотносить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произносимое слово со схемой его звукового состава, проводить звуковой анализ 3-5-звуковых слов (в процессе моделирования).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Различать и обозначать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Читать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слоги, структурно несложные слова и предложения на материале всего алфавита.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Писать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печатными буквами.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Сравнивать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своей работы с образцом.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Виды занятий: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Игры, слушание, пересказы, индивидуальные карточки, просмотр обучающих дисков, занятия в прописях, занятия в парах постоянного и сменного состава, работа в группах, подгруппах; дидактические, развивающие игры, рисование, штрихование, раскрашивание, логопедические упражнения, заучивание стихов и сказок, физкультминутки и упражнения для развития мелкой моторики как основы подготовки к письму.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Материально-техническое обеспечение: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Демонстрационный, дидактический, наглядный материалы, применение ТСО и ИКТ, спортивный материал, рабочие тетради, цветные карандаши, ручки разных цветов, пособия, книги, сказки, наборное полотно, буквы, алфавит.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год обучения (5-6 лет)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часа.</w:t>
      </w:r>
    </w:p>
    <w:tbl>
      <w:tblPr/>
      <w:tblGrid>
        <w:gridCol w:w="645"/>
        <w:gridCol w:w="7965"/>
        <w:gridCol w:w="1027"/>
      </w:tblGrid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п/п</w:t>
            </w:r>
          </w:p>
        </w:tc>
        <w:tc>
          <w:tcPr>
            <w:tcW w:w="79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Тема.</w:t>
            </w:r>
          </w:p>
        </w:tc>
        <w:tc>
          <w:tcPr>
            <w:tcW w:w="10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Кол-во часов.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Ш.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Ж.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З.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С.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Л.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М.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7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К.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8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П.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9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В.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10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Согласный звук  Г.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Парные твердые и мягкие звуки.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Гласные звуки  А,У.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Звуковой анализ.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Гласный звук Ы.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15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Звуковой анализ. Закрепление согласных звуков.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16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Волшебные гласные звуки.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17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Обозначение твердых и мягких звуков.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18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Закрепление пройденного.  Звуковой анализ.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</w:tr>
      <w:tr>
        <w:trPr>
          <w:trHeight w:val="438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19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А.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417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20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Я.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411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О.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390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Ё 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</w:tr>
      <w:tr>
        <w:trPr>
          <w:trHeight w:val="429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У.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393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Ю.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357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25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Э.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381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26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Е.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381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27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Ы.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381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28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И.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381" w:hRule="auto"/>
          <w:jc w:val="center"/>
        </w:trPr>
        <w:tc>
          <w:tcPr>
            <w:tcW w:w="6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29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Закрепление.</w:t>
            </w:r>
          </w:p>
        </w:tc>
        <w:tc>
          <w:tcPr>
            <w:tcW w:w="10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год обучения (6-7 лет)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 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часа.</w:t>
      </w:r>
    </w:p>
    <w:tbl>
      <w:tblPr/>
      <w:tblGrid>
        <w:gridCol w:w="630"/>
        <w:gridCol w:w="7965"/>
        <w:gridCol w:w="1042"/>
      </w:tblGrid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п/п</w:t>
            </w:r>
          </w:p>
        </w:tc>
        <w:tc>
          <w:tcPr>
            <w:tcW w:w="79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Тема.</w:t>
            </w:r>
          </w:p>
        </w:tc>
        <w:tc>
          <w:tcPr>
            <w:tcW w:w="10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Кол-во часов.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М.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Н.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Р.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Л.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Й.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Г.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7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К.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8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З.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9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С.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10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Д.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Т.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Б.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П.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В.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15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Ф.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16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Ь.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17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Ж.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18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Ш.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19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Ч.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20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Щ.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21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Х.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22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Буква Ц.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Разделительный Ь и Ъ.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24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Чтение.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Список литературы:</w:t>
      </w:r>
    </w:p>
    <w:p>
      <w:pPr>
        <w:numPr>
          <w:ilvl w:val="0"/>
          <w:numId w:val="15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обучения и развития детей 5-6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пришкольная пора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редакцией Н.Ф.Виноградовой,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Вентана-Граф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numPr>
          <w:ilvl w:val="0"/>
          <w:numId w:val="155"/>
        </w:numPr>
        <w:spacing w:before="0" w:after="0" w:line="240"/>
        <w:ind w:right="0" w:left="70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Проект программы Предшкольная пора. 2012. Вентана-граф.</w:t>
      </w:r>
    </w:p>
    <w:p>
      <w:pPr>
        <w:numPr>
          <w:ilvl w:val="0"/>
          <w:numId w:val="155"/>
        </w:numPr>
        <w:spacing w:before="0" w:after="0" w:line="240"/>
        <w:ind w:right="0" w:left="70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Азбука для дошкольников "Играем в звуки и слова", "Играем и читаем вместе" (авторы Л.Е.Журова", М.И.Кузнецова).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